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163E" w:rsidRDefault="0058163E" w:rsidP="0058163E">
      <w:bookmarkStart w:id="0" w:name="_GoBack"/>
      <w:bookmarkEnd w:id="0"/>
      <w:r>
        <w:t>Pagamento multe</w:t>
      </w:r>
    </w:p>
    <w:p w:rsidR="0058163E" w:rsidRDefault="0058163E" w:rsidP="0058163E">
      <w:r>
        <w:t>Allo stato attuale è disponibile un algoritmo, proposto con diverse varianti combinabili opportunamente, c</w:t>
      </w:r>
      <w:r w:rsidR="00302752">
        <w:t>he permette l’incasso di multe.</w:t>
      </w:r>
    </w:p>
    <w:p w:rsidR="00280537" w:rsidRDefault="0058163E" w:rsidP="0058163E">
      <w:r>
        <w:t xml:space="preserve">Per poter utilizzare questo tipo di soluzione l’Azienda dovrà stampare sulle multe uno o più codici a barre che permettono di acquisire i dati utili al pagamento. Il codice a barre (GS1-128) di lunghezza 48 byte deve contenere al suo interno il codice utenza di lunghezza 18 byte che, insieme al dato di importo, permette di verificare la </w:t>
      </w:r>
      <w:proofErr w:type="spellStart"/>
      <w:r>
        <w:t>pagabilità</w:t>
      </w:r>
      <w:proofErr w:type="spellEnd"/>
      <w:r>
        <w:t xml:space="preserve"> della multa. Di seguito è riportata la specifica relativa al </w:t>
      </w:r>
      <w:proofErr w:type="spellStart"/>
      <w:r>
        <w:t>barcode</w:t>
      </w:r>
      <w:proofErr w:type="spellEnd"/>
      <w:r>
        <w:t>:</w:t>
      </w:r>
    </w:p>
    <w:p w:rsidR="0058163E" w:rsidRDefault="0058163E" w:rsidP="0058163E">
      <w:r>
        <w:rPr>
          <w:noProof/>
          <w:lang w:eastAsia="it-IT"/>
        </w:rPr>
        <w:drawing>
          <wp:inline distT="0" distB="0" distL="0" distR="0">
            <wp:extent cx="6113264" cy="156210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b="13228"/>
                    <a:stretch/>
                  </pic:blipFill>
                  <pic:spPr bwMode="auto">
                    <a:xfrm>
                      <a:off x="0" y="0"/>
                      <a:ext cx="6120130" cy="1563855"/>
                    </a:xfrm>
                    <a:prstGeom prst="rect">
                      <a:avLst/>
                    </a:prstGeom>
                    <a:noFill/>
                    <a:ln>
                      <a:noFill/>
                    </a:ln>
                    <a:extLst>
                      <a:ext uri="{53640926-AAD7-44D8-BBD7-CCE9431645EC}">
                        <a14:shadowObscured xmlns:a14="http://schemas.microsoft.com/office/drawing/2010/main"/>
                      </a:ext>
                    </a:extLst>
                  </pic:spPr>
                </pic:pic>
              </a:graphicData>
            </a:graphic>
          </wp:inline>
        </w:drawing>
      </w:r>
    </w:p>
    <w:p w:rsidR="0058163E" w:rsidRDefault="00302752" w:rsidP="0058163E">
      <w:r>
        <w:t xml:space="preserve">Di seguito viene riportato un esempio di </w:t>
      </w:r>
      <w:proofErr w:type="spellStart"/>
      <w:r>
        <w:t>barcode</w:t>
      </w:r>
      <w:proofErr w:type="spellEnd"/>
      <w:r>
        <w:t xml:space="preserve"> (GS1-128) da produrre:</w:t>
      </w:r>
    </w:p>
    <w:p w:rsidR="00302752" w:rsidRDefault="00302752" w:rsidP="0058163E">
      <w:r>
        <w:rPr>
          <w:noProof/>
          <w:lang w:eastAsia="it-IT"/>
        </w:rPr>
        <w:drawing>
          <wp:inline distT="0" distB="0" distL="0" distR="0">
            <wp:extent cx="6120130" cy="1139002"/>
            <wp:effectExtent l="0" t="0" r="0" b="444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1139002"/>
                    </a:xfrm>
                    <a:prstGeom prst="rect">
                      <a:avLst/>
                    </a:prstGeom>
                    <a:noFill/>
                    <a:ln>
                      <a:noFill/>
                    </a:ln>
                  </pic:spPr>
                </pic:pic>
              </a:graphicData>
            </a:graphic>
          </wp:inline>
        </w:drawing>
      </w:r>
    </w:p>
    <w:p w:rsidR="00302752" w:rsidRDefault="00302752" w:rsidP="0058163E">
      <w:r>
        <w:t xml:space="preserve">Il codice utenza presente all’interno del </w:t>
      </w:r>
      <w:proofErr w:type="spellStart"/>
      <w:r>
        <w:t>barcode</w:t>
      </w:r>
      <w:proofErr w:type="spellEnd"/>
      <w:r>
        <w:t xml:space="preserve"> sovrastante deve essere composto come da specifiche seguenti:</w:t>
      </w:r>
    </w:p>
    <w:p w:rsidR="00302752" w:rsidRDefault="00302752" w:rsidP="0058163E">
      <w:r>
        <w:rPr>
          <w:noProof/>
          <w:lang w:eastAsia="it-IT"/>
        </w:rPr>
        <w:drawing>
          <wp:inline distT="0" distB="0" distL="0" distR="0">
            <wp:extent cx="6120130" cy="965127"/>
            <wp:effectExtent l="0" t="0" r="0" b="698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965127"/>
                    </a:xfrm>
                    <a:prstGeom prst="rect">
                      <a:avLst/>
                    </a:prstGeom>
                    <a:noFill/>
                    <a:ln>
                      <a:noFill/>
                    </a:ln>
                  </pic:spPr>
                </pic:pic>
              </a:graphicData>
            </a:graphic>
          </wp:inline>
        </w:drawing>
      </w:r>
    </w:p>
    <w:p w:rsidR="00302752" w:rsidRPr="00302752" w:rsidRDefault="00302752" w:rsidP="00302752">
      <w:pPr>
        <w:pStyle w:val="Default"/>
        <w:rPr>
          <w:rFonts w:asciiTheme="minorHAnsi" w:hAnsiTheme="minorHAnsi" w:cstheme="minorHAnsi"/>
          <w:sz w:val="22"/>
          <w:szCs w:val="22"/>
        </w:rPr>
      </w:pPr>
      <w:r w:rsidRPr="00302752">
        <w:rPr>
          <w:rFonts w:asciiTheme="minorHAnsi" w:hAnsiTheme="minorHAnsi" w:cstheme="minorHAnsi"/>
          <w:sz w:val="22"/>
          <w:szCs w:val="22"/>
        </w:rPr>
        <w:t xml:space="preserve">Dove: </w:t>
      </w:r>
    </w:p>
    <w:p w:rsidR="00302752" w:rsidRPr="00302752" w:rsidRDefault="00302752" w:rsidP="00302752">
      <w:pPr>
        <w:pStyle w:val="Default"/>
        <w:numPr>
          <w:ilvl w:val="0"/>
          <w:numId w:val="1"/>
        </w:numPr>
        <w:rPr>
          <w:rFonts w:asciiTheme="minorHAnsi" w:hAnsiTheme="minorHAnsi" w:cstheme="minorHAnsi"/>
          <w:sz w:val="22"/>
          <w:szCs w:val="22"/>
        </w:rPr>
      </w:pPr>
      <w:r w:rsidRPr="00302752">
        <w:rPr>
          <w:rFonts w:asciiTheme="minorHAnsi" w:hAnsiTheme="minorHAnsi" w:cstheme="minorHAnsi"/>
          <w:b/>
          <w:bCs/>
          <w:sz w:val="22"/>
          <w:szCs w:val="22"/>
        </w:rPr>
        <w:t>Conto Corrente Postale</w:t>
      </w:r>
      <w:r w:rsidRPr="00302752">
        <w:rPr>
          <w:rFonts w:asciiTheme="minorHAnsi" w:hAnsiTheme="minorHAnsi" w:cstheme="minorHAnsi"/>
          <w:sz w:val="22"/>
          <w:szCs w:val="22"/>
        </w:rPr>
        <w:t xml:space="preserve">: campo utilizzato per definire il conto corrente postale di accredito. Il conto corrente è configurato sui sistemi SIA e può essere recuperato grazie all’informazione contenuta nel primo byte del codice utenza. Se l’Azienda incassa le multe su più conti correnti può utilizzare tale byte nel seguente modo: </w:t>
      </w:r>
    </w:p>
    <w:p w:rsidR="00302752" w:rsidRPr="00302752" w:rsidRDefault="00302752" w:rsidP="00B34F4B">
      <w:pPr>
        <w:pStyle w:val="Default"/>
        <w:spacing w:after="18"/>
        <w:ind w:left="360"/>
        <w:rPr>
          <w:rFonts w:asciiTheme="minorHAnsi" w:hAnsiTheme="minorHAnsi" w:cstheme="minorHAnsi"/>
          <w:sz w:val="20"/>
          <w:szCs w:val="20"/>
        </w:rPr>
      </w:pPr>
      <w:r w:rsidRPr="00302752">
        <w:rPr>
          <w:rFonts w:asciiTheme="minorHAnsi" w:hAnsiTheme="minorHAnsi" w:cstheme="minorHAnsi"/>
          <w:sz w:val="20"/>
          <w:szCs w:val="20"/>
        </w:rPr>
        <w:t xml:space="preserve">o “0” – indica che la multa è da incassare sul conto corrente XXXXX; </w:t>
      </w:r>
    </w:p>
    <w:p w:rsidR="00302752" w:rsidRPr="00302752" w:rsidRDefault="00302752" w:rsidP="00B34F4B">
      <w:pPr>
        <w:pStyle w:val="Default"/>
        <w:spacing w:after="18"/>
        <w:ind w:left="360"/>
        <w:rPr>
          <w:rFonts w:asciiTheme="minorHAnsi" w:hAnsiTheme="minorHAnsi" w:cstheme="minorHAnsi"/>
          <w:sz w:val="20"/>
          <w:szCs w:val="20"/>
        </w:rPr>
      </w:pPr>
      <w:r w:rsidRPr="00302752">
        <w:rPr>
          <w:rFonts w:asciiTheme="minorHAnsi" w:hAnsiTheme="minorHAnsi" w:cstheme="minorHAnsi"/>
          <w:sz w:val="20"/>
          <w:szCs w:val="20"/>
        </w:rPr>
        <w:t xml:space="preserve">o “1” – indica che la multa è da incassare sul conto corrente YYYYY; </w:t>
      </w:r>
    </w:p>
    <w:p w:rsidR="00302752" w:rsidRPr="00302752" w:rsidRDefault="00302752" w:rsidP="00B34F4B">
      <w:pPr>
        <w:pStyle w:val="Default"/>
        <w:spacing w:after="18"/>
        <w:ind w:left="360"/>
        <w:rPr>
          <w:rFonts w:asciiTheme="minorHAnsi" w:hAnsiTheme="minorHAnsi" w:cstheme="minorHAnsi"/>
          <w:sz w:val="20"/>
          <w:szCs w:val="20"/>
        </w:rPr>
      </w:pPr>
      <w:r w:rsidRPr="00302752">
        <w:rPr>
          <w:rFonts w:asciiTheme="minorHAnsi" w:hAnsiTheme="minorHAnsi" w:cstheme="minorHAnsi"/>
          <w:sz w:val="20"/>
          <w:szCs w:val="20"/>
        </w:rPr>
        <w:t xml:space="preserve">o “..” </w:t>
      </w:r>
    </w:p>
    <w:p w:rsidR="00302752" w:rsidRPr="00302752" w:rsidRDefault="00302752" w:rsidP="00B34F4B">
      <w:pPr>
        <w:pStyle w:val="Default"/>
        <w:ind w:left="360"/>
        <w:rPr>
          <w:rFonts w:asciiTheme="minorHAnsi" w:hAnsiTheme="minorHAnsi" w:cstheme="minorHAnsi"/>
          <w:sz w:val="20"/>
          <w:szCs w:val="20"/>
        </w:rPr>
      </w:pPr>
      <w:r w:rsidRPr="00302752">
        <w:rPr>
          <w:rFonts w:asciiTheme="minorHAnsi" w:hAnsiTheme="minorHAnsi" w:cstheme="minorHAnsi"/>
          <w:sz w:val="20"/>
          <w:szCs w:val="20"/>
        </w:rPr>
        <w:t xml:space="preserve">o “9” – indica che la multa è da incassare sul conto corrente ZZZZZ; </w:t>
      </w:r>
    </w:p>
    <w:p w:rsidR="00302752" w:rsidRPr="00302752" w:rsidRDefault="00302752" w:rsidP="00302752">
      <w:pPr>
        <w:pStyle w:val="Default"/>
        <w:numPr>
          <w:ilvl w:val="0"/>
          <w:numId w:val="1"/>
        </w:numPr>
        <w:rPr>
          <w:rFonts w:asciiTheme="minorHAnsi" w:hAnsiTheme="minorHAnsi" w:cstheme="minorHAnsi"/>
          <w:b/>
          <w:bCs/>
          <w:sz w:val="22"/>
          <w:szCs w:val="22"/>
        </w:rPr>
      </w:pPr>
      <w:r w:rsidRPr="00302752">
        <w:rPr>
          <w:rFonts w:asciiTheme="minorHAnsi" w:hAnsiTheme="minorHAnsi" w:cstheme="minorHAnsi"/>
          <w:b/>
          <w:bCs/>
          <w:sz w:val="22"/>
          <w:szCs w:val="22"/>
        </w:rPr>
        <w:t xml:space="preserve">Anno: </w:t>
      </w:r>
      <w:r w:rsidRPr="00302752">
        <w:rPr>
          <w:rFonts w:asciiTheme="minorHAnsi" w:hAnsiTheme="minorHAnsi" w:cstheme="minorHAnsi"/>
          <w:bCs/>
          <w:sz w:val="22"/>
          <w:szCs w:val="22"/>
        </w:rPr>
        <w:t>indica l’anno di emissione del verbale. Deve essere espresso nel formato “AA”. Esempio: “15” per indicare l’anno 2015;</w:t>
      </w:r>
      <w:r w:rsidRPr="00302752">
        <w:rPr>
          <w:rFonts w:asciiTheme="minorHAnsi" w:hAnsiTheme="minorHAnsi" w:cstheme="minorHAnsi"/>
          <w:b/>
          <w:bCs/>
          <w:sz w:val="22"/>
          <w:szCs w:val="22"/>
        </w:rPr>
        <w:t xml:space="preserve"> </w:t>
      </w:r>
    </w:p>
    <w:p w:rsidR="00302752" w:rsidRPr="00302752" w:rsidRDefault="00302752" w:rsidP="00302752">
      <w:pPr>
        <w:pStyle w:val="Default"/>
        <w:numPr>
          <w:ilvl w:val="0"/>
          <w:numId w:val="1"/>
        </w:numPr>
        <w:rPr>
          <w:rFonts w:asciiTheme="minorHAnsi" w:hAnsiTheme="minorHAnsi" w:cstheme="minorHAnsi"/>
          <w:b/>
          <w:bCs/>
          <w:sz w:val="22"/>
          <w:szCs w:val="22"/>
        </w:rPr>
      </w:pPr>
      <w:r w:rsidRPr="00302752">
        <w:rPr>
          <w:rFonts w:asciiTheme="minorHAnsi" w:hAnsiTheme="minorHAnsi" w:cstheme="minorHAnsi"/>
          <w:b/>
          <w:bCs/>
          <w:sz w:val="22"/>
          <w:szCs w:val="22"/>
        </w:rPr>
        <w:t xml:space="preserve">Giorno: </w:t>
      </w:r>
      <w:r w:rsidRPr="00302752">
        <w:rPr>
          <w:rFonts w:asciiTheme="minorHAnsi" w:hAnsiTheme="minorHAnsi" w:cstheme="minorHAnsi"/>
          <w:bCs/>
          <w:sz w:val="22"/>
          <w:szCs w:val="22"/>
        </w:rPr>
        <w:t>giorno di emissione del verbale. Deve essere espresso nel formato gregoriano “GGG”. Esempio “175” se il giorno è il 23 giugno;</w:t>
      </w:r>
      <w:r w:rsidRPr="00302752">
        <w:rPr>
          <w:rFonts w:asciiTheme="minorHAnsi" w:hAnsiTheme="minorHAnsi" w:cstheme="minorHAnsi"/>
          <w:b/>
          <w:bCs/>
          <w:sz w:val="22"/>
          <w:szCs w:val="22"/>
        </w:rPr>
        <w:t xml:space="preserve"> </w:t>
      </w:r>
    </w:p>
    <w:p w:rsidR="00302752" w:rsidRPr="00302752" w:rsidRDefault="00302752" w:rsidP="00302752">
      <w:pPr>
        <w:pStyle w:val="Default"/>
        <w:numPr>
          <w:ilvl w:val="0"/>
          <w:numId w:val="1"/>
        </w:numPr>
        <w:rPr>
          <w:rFonts w:asciiTheme="minorHAnsi" w:hAnsiTheme="minorHAnsi" w:cstheme="minorHAnsi"/>
          <w:b/>
          <w:bCs/>
          <w:sz w:val="22"/>
          <w:szCs w:val="22"/>
        </w:rPr>
      </w:pPr>
      <w:r w:rsidRPr="00302752">
        <w:rPr>
          <w:rFonts w:asciiTheme="minorHAnsi" w:hAnsiTheme="minorHAnsi" w:cstheme="minorHAnsi"/>
          <w:b/>
          <w:bCs/>
          <w:sz w:val="22"/>
          <w:szCs w:val="22"/>
        </w:rPr>
        <w:lastRenderedPageBreak/>
        <w:t xml:space="preserve">Area libera: </w:t>
      </w:r>
      <w:r w:rsidRPr="00302752">
        <w:rPr>
          <w:rFonts w:asciiTheme="minorHAnsi" w:hAnsiTheme="minorHAnsi" w:cstheme="minorHAnsi"/>
          <w:bCs/>
          <w:sz w:val="22"/>
          <w:szCs w:val="22"/>
        </w:rPr>
        <w:t xml:space="preserve">spazio di 9 byte in cui l’Azienda può inserire liberamente dei caratteri numerici che permettono di rendere univoco il codice utenza. Per esempio può essere inserito il numero di verbale, un progressivo non ripetibile nell’ambito del giorno e dell’anno, </w:t>
      </w:r>
      <w:proofErr w:type="spellStart"/>
      <w:r w:rsidRPr="00302752">
        <w:rPr>
          <w:rFonts w:asciiTheme="minorHAnsi" w:hAnsiTheme="minorHAnsi" w:cstheme="minorHAnsi"/>
          <w:bCs/>
          <w:sz w:val="22"/>
          <w:szCs w:val="22"/>
        </w:rPr>
        <w:t>ecc</w:t>
      </w:r>
      <w:proofErr w:type="spellEnd"/>
      <w:r w:rsidRPr="00302752">
        <w:rPr>
          <w:rFonts w:asciiTheme="minorHAnsi" w:hAnsiTheme="minorHAnsi" w:cstheme="minorHAnsi"/>
          <w:bCs/>
          <w:sz w:val="22"/>
          <w:szCs w:val="22"/>
        </w:rPr>
        <w:t>;</w:t>
      </w:r>
      <w:r w:rsidRPr="00302752">
        <w:rPr>
          <w:rFonts w:asciiTheme="minorHAnsi" w:hAnsiTheme="minorHAnsi" w:cstheme="minorHAnsi"/>
          <w:b/>
          <w:bCs/>
          <w:sz w:val="22"/>
          <w:szCs w:val="22"/>
        </w:rPr>
        <w:t xml:space="preserve"> </w:t>
      </w:r>
    </w:p>
    <w:p w:rsidR="00302752" w:rsidRPr="00B34F4B" w:rsidRDefault="00302752" w:rsidP="00302752">
      <w:pPr>
        <w:pStyle w:val="Default"/>
        <w:numPr>
          <w:ilvl w:val="0"/>
          <w:numId w:val="1"/>
        </w:numPr>
        <w:rPr>
          <w:rFonts w:asciiTheme="minorHAnsi" w:hAnsiTheme="minorHAnsi" w:cstheme="minorHAnsi"/>
          <w:bCs/>
          <w:sz w:val="22"/>
          <w:szCs w:val="22"/>
        </w:rPr>
      </w:pPr>
      <w:r w:rsidRPr="00302752">
        <w:rPr>
          <w:rFonts w:asciiTheme="minorHAnsi" w:hAnsiTheme="minorHAnsi" w:cstheme="minorHAnsi"/>
          <w:b/>
          <w:bCs/>
          <w:sz w:val="22"/>
          <w:szCs w:val="22"/>
        </w:rPr>
        <w:t xml:space="preserve">Tipo Controllo: </w:t>
      </w:r>
      <w:r w:rsidRPr="00B34F4B">
        <w:rPr>
          <w:rFonts w:asciiTheme="minorHAnsi" w:hAnsiTheme="minorHAnsi" w:cstheme="minorHAnsi"/>
          <w:bCs/>
          <w:sz w:val="22"/>
          <w:szCs w:val="22"/>
        </w:rPr>
        <w:t>campo che permette di definire quali controlli devono essere eseguiti sul codice utenza. Tipicamente serve per verifiche relative alla data di emissione della multa. Ad esempio per verificare se la multa è incassabile entro i 5 giorni dall’emissione oppure se il codice utenza fa riferimento ad una multa pagabile dal sesto giorno in poi. È possibile definire differenti tipi di controllo nel numero limitato a 10 casistiche, cioè corrispo</w:t>
      </w:r>
      <w:r w:rsidR="00B34F4B">
        <w:rPr>
          <w:rFonts w:asciiTheme="minorHAnsi" w:hAnsiTheme="minorHAnsi" w:cstheme="minorHAnsi"/>
          <w:bCs/>
          <w:sz w:val="22"/>
          <w:szCs w:val="22"/>
        </w:rPr>
        <w:t>ndenti ai valori da 0 a 9. I</w:t>
      </w:r>
      <w:r w:rsidRPr="00B34F4B">
        <w:rPr>
          <w:rFonts w:asciiTheme="minorHAnsi" w:hAnsiTheme="minorHAnsi" w:cstheme="minorHAnsi"/>
          <w:bCs/>
          <w:sz w:val="22"/>
          <w:szCs w:val="22"/>
        </w:rPr>
        <w:t xml:space="preserve"> tipi di controlli attualmente disponibili </w:t>
      </w:r>
      <w:r w:rsidR="00B34F4B">
        <w:rPr>
          <w:rFonts w:asciiTheme="minorHAnsi" w:hAnsiTheme="minorHAnsi" w:cstheme="minorHAnsi"/>
          <w:bCs/>
          <w:sz w:val="22"/>
          <w:szCs w:val="22"/>
        </w:rPr>
        <w:t>sono elencati successivamente</w:t>
      </w:r>
      <w:r w:rsidRPr="00B34F4B">
        <w:rPr>
          <w:rFonts w:asciiTheme="minorHAnsi" w:hAnsiTheme="minorHAnsi" w:cstheme="minorHAnsi"/>
          <w:bCs/>
          <w:sz w:val="22"/>
          <w:szCs w:val="22"/>
        </w:rPr>
        <w:t xml:space="preserve">; </w:t>
      </w:r>
    </w:p>
    <w:p w:rsidR="00302752" w:rsidRPr="00302752" w:rsidRDefault="00302752" w:rsidP="00302752">
      <w:pPr>
        <w:pStyle w:val="Default"/>
        <w:numPr>
          <w:ilvl w:val="0"/>
          <w:numId w:val="1"/>
        </w:numPr>
        <w:rPr>
          <w:rFonts w:asciiTheme="minorHAnsi" w:hAnsiTheme="minorHAnsi" w:cstheme="minorHAnsi"/>
          <w:b/>
          <w:bCs/>
          <w:sz w:val="22"/>
          <w:szCs w:val="22"/>
        </w:rPr>
      </w:pPr>
      <w:r w:rsidRPr="00302752">
        <w:rPr>
          <w:rFonts w:asciiTheme="minorHAnsi" w:hAnsiTheme="minorHAnsi" w:cstheme="minorHAnsi"/>
          <w:b/>
          <w:bCs/>
          <w:sz w:val="22"/>
          <w:szCs w:val="22"/>
        </w:rPr>
        <w:t xml:space="preserve">Check </w:t>
      </w:r>
      <w:proofErr w:type="spellStart"/>
      <w:r w:rsidRPr="00302752">
        <w:rPr>
          <w:rFonts w:asciiTheme="minorHAnsi" w:hAnsiTheme="minorHAnsi" w:cstheme="minorHAnsi"/>
          <w:b/>
          <w:bCs/>
          <w:sz w:val="22"/>
          <w:szCs w:val="22"/>
        </w:rPr>
        <w:t>Digit</w:t>
      </w:r>
      <w:proofErr w:type="spellEnd"/>
      <w:r w:rsidRPr="00302752">
        <w:rPr>
          <w:rFonts w:asciiTheme="minorHAnsi" w:hAnsiTheme="minorHAnsi" w:cstheme="minorHAnsi"/>
          <w:b/>
          <w:bCs/>
          <w:sz w:val="22"/>
          <w:szCs w:val="22"/>
        </w:rPr>
        <w:t xml:space="preserve">: </w:t>
      </w:r>
      <w:r w:rsidRPr="00B34F4B">
        <w:rPr>
          <w:rFonts w:asciiTheme="minorHAnsi" w:hAnsiTheme="minorHAnsi" w:cstheme="minorHAnsi"/>
          <w:bCs/>
          <w:sz w:val="22"/>
          <w:szCs w:val="22"/>
        </w:rPr>
        <w:t>campo che permette di verificare la correttezza formale del codice utenza. Tale campo è frutto del seguente calcolo che coinvolge il codice utenza e l’importo:</w:t>
      </w:r>
      <w:r w:rsidRPr="00302752">
        <w:rPr>
          <w:rFonts w:asciiTheme="minorHAnsi" w:hAnsiTheme="minorHAnsi" w:cstheme="minorHAnsi"/>
          <w:b/>
          <w:bCs/>
          <w:sz w:val="22"/>
          <w:szCs w:val="22"/>
        </w:rPr>
        <w:t xml:space="preserve"> </w:t>
      </w:r>
    </w:p>
    <w:p w:rsidR="00302752" w:rsidRPr="00B34F4B" w:rsidRDefault="00302752" w:rsidP="00B34F4B">
      <w:pPr>
        <w:pStyle w:val="Default"/>
        <w:spacing w:after="18"/>
        <w:ind w:left="360"/>
        <w:rPr>
          <w:rFonts w:asciiTheme="minorHAnsi" w:hAnsiTheme="minorHAnsi" w:cstheme="minorHAnsi"/>
          <w:sz w:val="20"/>
          <w:szCs w:val="20"/>
        </w:rPr>
      </w:pPr>
      <w:r w:rsidRPr="00B34F4B">
        <w:rPr>
          <w:rFonts w:asciiTheme="minorHAnsi" w:hAnsiTheme="minorHAnsi" w:cstheme="minorHAnsi"/>
          <w:sz w:val="20"/>
          <w:szCs w:val="20"/>
        </w:rPr>
        <w:t xml:space="preserve">o Somma = Codice Utenza + Importo (espresso in centesimi di euro) </w:t>
      </w:r>
    </w:p>
    <w:p w:rsidR="00302752" w:rsidRPr="00B34F4B" w:rsidRDefault="00302752" w:rsidP="00B34F4B">
      <w:pPr>
        <w:pStyle w:val="Default"/>
        <w:spacing w:after="18"/>
        <w:ind w:left="360"/>
        <w:rPr>
          <w:rFonts w:asciiTheme="minorHAnsi" w:hAnsiTheme="minorHAnsi" w:cstheme="minorHAnsi"/>
          <w:sz w:val="20"/>
          <w:szCs w:val="20"/>
        </w:rPr>
      </w:pPr>
      <w:r w:rsidRPr="00B34F4B">
        <w:rPr>
          <w:rFonts w:asciiTheme="minorHAnsi" w:hAnsiTheme="minorHAnsi" w:cstheme="minorHAnsi"/>
          <w:sz w:val="20"/>
          <w:szCs w:val="20"/>
        </w:rPr>
        <w:t xml:space="preserve">o Check </w:t>
      </w:r>
      <w:proofErr w:type="spellStart"/>
      <w:r w:rsidRPr="00B34F4B">
        <w:rPr>
          <w:rFonts w:asciiTheme="minorHAnsi" w:hAnsiTheme="minorHAnsi" w:cstheme="minorHAnsi"/>
          <w:sz w:val="20"/>
          <w:szCs w:val="20"/>
        </w:rPr>
        <w:t>Digit</w:t>
      </w:r>
      <w:proofErr w:type="spellEnd"/>
      <w:r w:rsidRPr="00B34F4B">
        <w:rPr>
          <w:rFonts w:asciiTheme="minorHAnsi" w:hAnsiTheme="minorHAnsi" w:cstheme="minorHAnsi"/>
          <w:sz w:val="20"/>
          <w:szCs w:val="20"/>
        </w:rPr>
        <w:t xml:space="preserve"> = Somma – 93*</w:t>
      </w:r>
      <w:proofErr w:type="spellStart"/>
      <w:r w:rsidRPr="00B34F4B">
        <w:rPr>
          <w:rFonts w:asciiTheme="minorHAnsi" w:hAnsiTheme="minorHAnsi" w:cstheme="minorHAnsi"/>
          <w:sz w:val="20"/>
          <w:szCs w:val="20"/>
        </w:rPr>
        <w:t>Int</w:t>
      </w:r>
      <w:proofErr w:type="spellEnd"/>
      <w:r w:rsidRPr="00B34F4B">
        <w:rPr>
          <w:rFonts w:asciiTheme="minorHAnsi" w:hAnsiTheme="minorHAnsi" w:cstheme="minorHAnsi"/>
          <w:sz w:val="20"/>
          <w:szCs w:val="20"/>
        </w:rPr>
        <w:t xml:space="preserve">(Somma/93) </w:t>
      </w:r>
    </w:p>
    <w:p w:rsidR="00302752" w:rsidRPr="00302752" w:rsidRDefault="00302752" w:rsidP="0058163E">
      <w:pPr>
        <w:rPr>
          <w:rFonts w:cstheme="minorHAnsi"/>
        </w:rPr>
      </w:pPr>
    </w:p>
    <w:p w:rsidR="00302752" w:rsidRDefault="00302752" w:rsidP="0058163E">
      <w:r>
        <w:t>Valori Tipo controllo</w:t>
      </w:r>
    </w:p>
    <w:p w:rsidR="00302752" w:rsidRDefault="00302752" w:rsidP="00302752">
      <w:r>
        <w:t xml:space="preserve">I controlli attualmente disponibili relativamente all’algoritmo delle multe sono: </w:t>
      </w:r>
    </w:p>
    <w:p w:rsidR="00302752" w:rsidRDefault="00302752" w:rsidP="00302752">
      <w:r>
        <w:t xml:space="preserve">1) Se Codice Utenza (byte 16) = ‘0’ allora si tratta di pagamento di un abbonamento, quindi </w:t>
      </w:r>
      <w:r w:rsidRPr="00302752">
        <w:t xml:space="preserve"> </w:t>
      </w:r>
      <w:r>
        <w:t xml:space="preserve">data odierna (di pagamento) &lt;= data scadenza del pagamento (senza controlli sulle festività). </w:t>
      </w:r>
    </w:p>
    <w:p w:rsidR="00302752" w:rsidRDefault="00302752" w:rsidP="00302752">
      <w:r>
        <w:t xml:space="preserve">2) Se Codice Utenza (byte 16) = ’1’ allora si tratta di pagamento di un importo ridotto, quindi </w:t>
      </w:r>
      <w:r w:rsidRPr="00302752">
        <w:t></w:t>
      </w:r>
      <w:r>
        <w:t xml:space="preserve">data emissione &lt; data odierna (di pagamento) &lt;= data emissione + 5 gg (per l’identificazione dei giorni feriali verranno considerate le festività nazionali). </w:t>
      </w:r>
    </w:p>
    <w:p w:rsidR="00302752" w:rsidRDefault="00302752" w:rsidP="00302752">
      <w:r>
        <w:t xml:space="preserve">3) Se Codice Utenza (byte 16) = ‘2’ allora si tratta di pagamento di un importo intero, quindi </w:t>
      </w:r>
      <w:r w:rsidRPr="00302752">
        <w:t xml:space="preserve"> </w:t>
      </w:r>
      <w:r>
        <w:t xml:space="preserve">data odierna (di pagamento) &gt; data emissione + 5 gg (per l’identificazione dei giorni feriali verranno considerate le festività nazionali). </w:t>
      </w:r>
    </w:p>
    <w:p w:rsidR="00302752" w:rsidRDefault="00302752" w:rsidP="00302752">
      <w:r>
        <w:t xml:space="preserve">4) Se Codice Utenza (byte 16) = ‘3’ allora si tratta di pagamento di una multa a un minore, quindi </w:t>
      </w:r>
      <w:r w:rsidRPr="00302752">
        <w:t xml:space="preserve"> </w:t>
      </w:r>
      <w:r>
        <w:t xml:space="preserve">data emissione &lt; data odierna (di pagamento) &lt;= data emissione + 30 gg (per l’identificazione dei giorni feriali verranno considerate le festività nazionali). </w:t>
      </w:r>
    </w:p>
    <w:p w:rsidR="00302752" w:rsidRDefault="00302752" w:rsidP="00302752">
      <w:r>
        <w:t xml:space="preserve">5) Se Codice Utenza (byte 16) = ‘4’ allora si tratta di pagamento di una multa per mancata convalida del biglietto. In questo scenario non vengono eseguiti controlli legati alla data di emissione della multa. </w:t>
      </w:r>
    </w:p>
    <w:p w:rsidR="00302752" w:rsidRDefault="00302752" w:rsidP="00302752">
      <w:r>
        <w:t xml:space="preserve">6) Se Codice Utenza (byte 16) = ‘5’ allora si tratta di pagamento di un importo intero, quindi </w:t>
      </w:r>
      <w:r>
        <w:rPr>
          <w:rFonts w:ascii="Wingdings" w:hAnsi="Wingdings" w:cs="Wingdings"/>
        </w:rPr>
        <w:t></w:t>
      </w:r>
      <w:r>
        <w:t>data emissione + 5 gg &lt; data odierna (di pagamento) &lt;= data emissione + 60 gg (per l’identificazione dei giorni feriali verranno considerate le festività nazionali).</w:t>
      </w:r>
    </w:p>
    <w:sectPr w:rsidR="003027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3B5B6B"/>
    <w:multiLevelType w:val="hybridMultilevel"/>
    <w:tmpl w:val="BE14B7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3E"/>
    <w:rsid w:val="00280537"/>
    <w:rsid w:val="00302752"/>
    <w:rsid w:val="00312C9B"/>
    <w:rsid w:val="00354A8D"/>
    <w:rsid w:val="0058163E"/>
    <w:rsid w:val="00B34F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4F664C-9D7C-4161-BE5F-C69150D1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816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163E"/>
    <w:rPr>
      <w:rFonts w:ascii="Tahoma" w:hAnsi="Tahoma" w:cs="Tahoma"/>
      <w:sz w:val="16"/>
      <w:szCs w:val="16"/>
    </w:rPr>
  </w:style>
  <w:style w:type="paragraph" w:customStyle="1" w:styleId="Default">
    <w:name w:val="Default"/>
    <w:rsid w:val="00302752"/>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3589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Poste Italiane SpA</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Poste Italiane</dc:creator>
  <cp:lastModifiedBy>Arcangelo Scattaglia</cp:lastModifiedBy>
  <cp:revision>2</cp:revision>
  <dcterms:created xsi:type="dcterms:W3CDTF">2017-10-16T07:18:00Z</dcterms:created>
  <dcterms:modified xsi:type="dcterms:W3CDTF">2017-10-16T07:18:00Z</dcterms:modified>
</cp:coreProperties>
</file>